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EA2ED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81710" cy="913765"/>
            <wp:effectExtent l="0" t="0" r="8890" b="6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42546">
      <w:pPr>
        <w:spacing w:before="188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5BB5">
      <w:pPr>
        <w:pStyle w:val="2"/>
        <w:spacing w:before="281" w:line="189" w:lineRule="auto"/>
        <w:ind w:left="545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IDH2 (R140Q)</w:t>
      </w:r>
    </w:p>
    <w:p w14:paraId="351ADD05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26165</w:t>
      </w:r>
    </w:p>
    <w:p w14:paraId="28FD77A0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4"/>
        </w:rPr>
        <w:t xml:space="preserve">: </w:t>
      </w:r>
      <w:r>
        <w:t>IDH</w:t>
      </w:r>
      <w:r>
        <w:rPr>
          <w:spacing w:val="14"/>
        </w:rPr>
        <w:t>2; D2</w:t>
      </w:r>
      <w:r>
        <w:t>HGA</w:t>
      </w:r>
      <w:r>
        <w:rPr>
          <w:spacing w:val="14"/>
        </w:rPr>
        <w:t xml:space="preserve">2; </w:t>
      </w:r>
      <w:r>
        <w:t>ICD</w:t>
      </w:r>
      <w:r>
        <w:rPr>
          <w:spacing w:val="14"/>
        </w:rPr>
        <w:t xml:space="preserve">-M; </w:t>
      </w:r>
      <w:r>
        <w:t>IDH</w:t>
      </w:r>
      <w:r>
        <w:rPr>
          <w:spacing w:val="14"/>
        </w:rPr>
        <w:t xml:space="preserve">; </w:t>
      </w:r>
      <w:r>
        <w:t>IDHM</w:t>
      </w:r>
      <w:r>
        <w:rPr>
          <w:spacing w:val="14"/>
        </w:rPr>
        <w:t>;</w:t>
      </w:r>
      <w:r>
        <w:rPr>
          <w:spacing w:val="10"/>
        </w:rPr>
        <w:t xml:space="preserve"> </w:t>
      </w:r>
      <w:r>
        <w:t>IDP</w:t>
      </w:r>
      <w:r>
        <w:rPr>
          <w:spacing w:val="14"/>
        </w:rPr>
        <w:t>;</w:t>
      </w:r>
      <w:r>
        <w:rPr>
          <w:spacing w:val="10"/>
        </w:rPr>
        <w:t xml:space="preserve"> </w:t>
      </w:r>
      <w:r>
        <w:t>IDPM</w:t>
      </w:r>
      <w:r>
        <w:rPr>
          <w:spacing w:val="13"/>
        </w:rPr>
        <w:t>;</w:t>
      </w:r>
      <w:r>
        <w:rPr>
          <w:spacing w:val="7"/>
        </w:rPr>
        <w:t xml:space="preserve"> </w:t>
      </w:r>
      <w:r>
        <w:t>mNADP</w:t>
      </w:r>
      <w:r>
        <w:rPr>
          <w:spacing w:val="13"/>
        </w:rPr>
        <w:t>-</w:t>
      </w:r>
      <w:r>
        <w:t>IDH</w:t>
      </w:r>
    </w:p>
    <w:p w14:paraId="1D08CFA4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95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7"/>
        </w:rPr>
        <w:t xml:space="preserve">: </w:t>
      </w:r>
      <w:r>
        <w:t>Anti</w:t>
      </w:r>
      <w:r>
        <w:rPr>
          <w:spacing w:val="17"/>
        </w:rPr>
        <w:t>-</w:t>
      </w:r>
      <w:r>
        <w:t>IDH</w:t>
      </w:r>
      <w:r>
        <w:rPr>
          <w:spacing w:val="17"/>
        </w:rPr>
        <w:t xml:space="preserve">2 (R140Q) </w:t>
      </w:r>
      <w:r>
        <w:t>Mouse</w:t>
      </w:r>
      <w:r>
        <w:rPr>
          <w:spacing w:val="17"/>
        </w:rPr>
        <w:t xml:space="preserve"> </w:t>
      </w:r>
      <w:r>
        <w:t>Monoclonal</w:t>
      </w:r>
      <w:r>
        <w:rPr>
          <w:spacing w:val="3"/>
        </w:rPr>
        <w:t xml:space="preserve"> </w:t>
      </w:r>
      <w:r>
        <w:t>Antibody</w:t>
      </w:r>
    </w:p>
    <w:p w14:paraId="007533EA">
      <w:pPr>
        <w:spacing w:before="128"/>
      </w:pPr>
    </w:p>
    <w:p w14:paraId="5CE3122A">
      <w:pPr>
        <w:sectPr>
          <w:pgSz w:w="11906" w:h="16839"/>
          <w:pgMar w:top="851" w:right="595" w:bottom="0" w:left="1260" w:header="0" w:footer="0" w:gutter="0"/>
          <w:cols w:equalWidth="0" w:num="1">
            <w:col w:w="10050"/>
          </w:cols>
        </w:sectPr>
      </w:pPr>
    </w:p>
    <w:p w14:paraId="3064D15B">
      <w:pPr>
        <w:pStyle w:val="2"/>
        <w:spacing w:before="39" w:line="309" w:lineRule="auto"/>
        <w:ind w:left="546" w:right="639" w:hanging="2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Isocitrate dehydrogenase (IDH)</w:t>
      </w:r>
      <w:r>
        <w:rPr>
          <w:spacing w:val="5"/>
        </w:rPr>
        <w:t xml:space="preserve"> </w:t>
      </w:r>
      <w:r>
        <w:rPr>
          <w:spacing w:val="4"/>
        </w:rPr>
        <w:t>catalyzes the oxidative decarboxylation of</w:t>
      </w:r>
    </w:p>
    <w:p w14:paraId="2F0C310D">
      <w:pPr>
        <w:pStyle w:val="2"/>
        <w:spacing w:before="31" w:line="201" w:lineRule="auto"/>
        <w:ind w:left="546"/>
      </w:pPr>
      <w:r>
        <w:rPr>
          <w:spacing w:val="4"/>
        </w:rPr>
        <w:t>isocitrate to 2-oxoglutarate. Mutations of</w:t>
      </w:r>
    </w:p>
    <w:p w14:paraId="375A4E98">
      <w:pPr>
        <w:pStyle w:val="2"/>
        <w:spacing w:before="120" w:line="309" w:lineRule="auto"/>
        <w:ind w:left="541" w:right="532"/>
      </w:pPr>
      <w:r>
        <w:t>Arg</w:t>
      </w:r>
      <w:r>
        <w:rPr>
          <w:spacing w:val="12"/>
        </w:rPr>
        <w:t xml:space="preserve">-132 </w:t>
      </w:r>
      <w:r>
        <w:t>in</w:t>
      </w:r>
      <w:r>
        <w:rPr>
          <w:spacing w:val="12"/>
        </w:rPr>
        <w:t xml:space="preserve"> </w:t>
      </w:r>
      <w:r>
        <w:t>IDH</w:t>
      </w:r>
      <w:r>
        <w:rPr>
          <w:spacing w:val="12"/>
        </w:rPr>
        <w:t xml:space="preserve"> </w:t>
      </w:r>
      <w:r>
        <w:t>to</w:t>
      </w:r>
      <w:r>
        <w:rPr>
          <w:spacing w:val="19"/>
          <w:w w:val="101"/>
        </w:rPr>
        <w:t xml:space="preserve"> </w:t>
      </w:r>
      <w:r>
        <w:t>Cys</w:t>
      </w:r>
      <w:r>
        <w:rPr>
          <w:spacing w:val="12"/>
        </w:rPr>
        <w:t xml:space="preserve">, </w:t>
      </w:r>
      <w:r>
        <w:t>His</w:t>
      </w:r>
      <w:r>
        <w:rPr>
          <w:spacing w:val="12"/>
        </w:rPr>
        <w:t>,</w:t>
      </w:r>
      <w:r>
        <w:rPr>
          <w:spacing w:val="7"/>
        </w:rPr>
        <w:t xml:space="preserve"> </w:t>
      </w:r>
      <w:r>
        <w:t>Leu</w:t>
      </w:r>
      <w:r>
        <w:rPr>
          <w:spacing w:val="11"/>
        </w:rPr>
        <w:t xml:space="preserve"> </w:t>
      </w:r>
      <w:r>
        <w:t>or</w:t>
      </w:r>
      <w:r>
        <w:rPr>
          <w:spacing w:val="15"/>
          <w:w w:val="101"/>
        </w:rPr>
        <w:t xml:space="preserve"> </w:t>
      </w:r>
      <w:r>
        <w:t>Ser</w:t>
      </w:r>
      <w:r>
        <w:rPr>
          <w:spacing w:val="9"/>
        </w:rPr>
        <w:t xml:space="preserve"> </w:t>
      </w:r>
      <w:r>
        <w:t xml:space="preserve">abolish </w:t>
      </w:r>
      <w:r>
        <w:rPr>
          <w:spacing w:val="5"/>
        </w:rPr>
        <w:t>magnesium binding and the conv</w:t>
      </w:r>
      <w:r>
        <w:rPr>
          <w:spacing w:val="4"/>
        </w:rPr>
        <w:t>ersion of</w:t>
      </w:r>
    </w:p>
    <w:p w14:paraId="2C1EABAB">
      <w:pPr>
        <w:pStyle w:val="2"/>
        <w:spacing w:before="32" w:line="309" w:lineRule="auto"/>
        <w:ind w:left="547" w:right="1100" w:hanging="1"/>
      </w:pPr>
      <w:r>
        <w:rPr>
          <w:spacing w:val="4"/>
        </w:rPr>
        <w:t>isocitrate to alpha-ketog</w:t>
      </w:r>
      <w:r>
        <w:rPr>
          <w:spacing w:val="3"/>
        </w:rPr>
        <w:t>lutarate. Instead,</w:t>
      </w:r>
      <w:r>
        <w:t xml:space="preserve"> </w:t>
      </w:r>
      <w:r>
        <w:rPr>
          <w:spacing w:val="4"/>
        </w:rPr>
        <w:t xml:space="preserve">alpha-ketoglutarate is </w:t>
      </w:r>
      <w:r>
        <w:rPr>
          <w:spacing w:val="3"/>
        </w:rPr>
        <w:t>converted to</w:t>
      </w:r>
    </w:p>
    <w:p w14:paraId="02016225">
      <w:pPr>
        <w:pStyle w:val="2"/>
        <w:spacing w:before="31" w:line="201" w:lineRule="auto"/>
        <w:ind w:left="543"/>
      </w:pPr>
      <w:r>
        <w:rPr>
          <w:spacing w:val="4"/>
        </w:rPr>
        <w:t>R-2-hydroxyglutarate. Elevated levels of</w:t>
      </w:r>
    </w:p>
    <w:p w14:paraId="01D2B241">
      <w:pPr>
        <w:pStyle w:val="2"/>
        <w:spacing w:before="120" w:line="309" w:lineRule="auto"/>
        <w:ind w:left="547" w:right="827" w:hanging="4"/>
      </w:pPr>
      <w:r>
        <w:rPr>
          <w:spacing w:val="4"/>
        </w:rPr>
        <w:t>R-2-hydroxyglutarate are correlated with</w:t>
      </w:r>
      <w:r>
        <w:rPr>
          <w:spacing w:val="3"/>
        </w:rPr>
        <w:t xml:space="preserve"> an</w:t>
      </w:r>
      <w:r>
        <w:t xml:space="preserve"> </w:t>
      </w:r>
      <w:r>
        <w:rPr>
          <w:spacing w:val="4"/>
        </w:rPr>
        <w:t>elevated risk of</w:t>
      </w:r>
      <w:r>
        <w:rPr>
          <w:spacing w:val="-7"/>
        </w:rPr>
        <w:t xml:space="preserve"> </w:t>
      </w:r>
      <w:r>
        <w:rPr>
          <w:spacing w:val="4"/>
        </w:rPr>
        <w:t>malignant brain tumors.</w:t>
      </w:r>
    </w:p>
    <w:p w14:paraId="04F184FA">
      <w:pPr>
        <w:pStyle w:val="2"/>
        <w:spacing w:before="36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769B56D7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59E390ED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749FBFC8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4398B32E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1F66D304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70587D18">
      <w:pPr>
        <w:pStyle w:val="2"/>
        <w:spacing w:before="122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6EAC11B3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7C8065C2">
      <w:pPr>
        <w:pStyle w:val="2"/>
        <w:spacing w:before="119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11209289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56E71FEC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47BF9189">
      <w:pPr>
        <w:pStyle w:val="2"/>
        <w:spacing w:before="36" w:line="309" w:lineRule="auto"/>
        <w:ind w:left="539" w:right="471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R</w:t>
      </w:r>
      <w:r>
        <w:rPr>
          <w:spacing w:val="19"/>
        </w:rPr>
        <w:t>140</w:t>
      </w:r>
      <w:r>
        <w:t>Q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7"/>
        </w:rPr>
        <w:t xml:space="preserve"> </w:t>
      </w:r>
      <w:r>
        <w:rPr>
          <w:spacing w:val="5"/>
        </w:rPr>
        <w:t>but not wild-type ID</w:t>
      </w:r>
      <w:r>
        <w:rPr>
          <w:spacing w:val="4"/>
        </w:rPr>
        <w:t>H2 of</w:t>
      </w:r>
      <w:r>
        <w:rPr>
          <w:spacing w:val="-16"/>
        </w:rPr>
        <w:t xml:space="preserve"> </w:t>
      </w:r>
      <w:r>
        <w:rPr>
          <w:spacing w:val="4"/>
        </w:rPr>
        <w:t>vertebrates.</w:t>
      </w:r>
    </w:p>
    <w:p w14:paraId="726071F8">
      <w:pPr>
        <w:pStyle w:val="2"/>
        <w:spacing w:before="32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7CE503EB">
      <w:pPr>
        <w:spacing w:line="32" w:lineRule="exact"/>
      </w:pPr>
    </w:p>
    <w:p w14:paraId="4BBB9C4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3FBE018">
      <w:pPr>
        <w:pStyle w:val="2"/>
        <w:spacing w:before="68" w:line="192" w:lineRule="auto"/>
        <w:ind w:left="2"/>
      </w:pPr>
      <w:r>
        <w:rPr>
          <w:b/>
          <w:bCs/>
          <w:spacing w:val="3"/>
        </w:rPr>
        <w:t>Western blot:</w:t>
      </w:r>
    </w:p>
    <w:p w14:paraId="53F6EFF6">
      <w:pPr>
        <w:spacing w:before="128" w:line="2879" w:lineRule="exact"/>
        <w:ind w:firstLine="1237"/>
      </w:pPr>
      <w:r>
        <w:rPr>
          <w:position w:val="-57"/>
        </w:rPr>
        <w:drawing>
          <wp:inline distT="0" distB="0" distL="0" distR="0">
            <wp:extent cx="1360805" cy="18275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1371" cy="182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D78EF">
      <w:pPr>
        <w:pStyle w:val="2"/>
        <w:spacing w:before="237" w:line="308" w:lineRule="auto"/>
        <w:ind w:left="8" w:right="1003" w:hanging="6"/>
      </w:pPr>
      <w:r>
        <w:rPr>
          <w:b/>
          <w:bCs/>
          <w:spacing w:val="4"/>
        </w:rPr>
        <w:t>Western blot analysis of recombinant IDH2</w:t>
      </w:r>
      <w:r>
        <w:rPr>
          <w:b/>
          <w:bCs/>
        </w:rPr>
        <w:t xml:space="preserve"> </w:t>
      </w:r>
      <w:r>
        <w:rPr>
          <w:b/>
          <w:bCs/>
          <w:spacing w:val="12"/>
        </w:rPr>
        <w:t xml:space="preserve">(R140Q) </w:t>
      </w:r>
      <w:r>
        <w:rPr>
          <w:b/>
          <w:bCs/>
        </w:rPr>
        <w:t>and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. </w:t>
      </w:r>
      <w:r>
        <w:t>Purified</w:t>
      </w:r>
    </w:p>
    <w:p w14:paraId="564DBFEB">
      <w:pPr>
        <w:pStyle w:val="2"/>
        <w:spacing w:before="32" w:line="314" w:lineRule="auto"/>
        <w:ind w:right="933" w:firstLine="3"/>
      </w:pPr>
      <w:r>
        <w:t>His</w:t>
      </w:r>
      <w:r>
        <w:rPr>
          <w:spacing w:val="10"/>
        </w:rPr>
        <w:t>-</w:t>
      </w:r>
      <w:r>
        <w:t>tagged</w:t>
      </w:r>
      <w:r>
        <w:rPr>
          <w:spacing w:val="10"/>
        </w:rPr>
        <w:t xml:space="preserve"> </w:t>
      </w:r>
      <w:r>
        <w:t>IDH</w:t>
      </w:r>
      <w:r>
        <w:rPr>
          <w:spacing w:val="10"/>
        </w:rPr>
        <w:t xml:space="preserve">2 (R140Q) </w:t>
      </w:r>
      <w:r>
        <w:t>protein</w:t>
      </w:r>
      <w:r>
        <w:rPr>
          <w:spacing w:val="10"/>
        </w:rPr>
        <w:t xml:space="preserve"> (</w:t>
      </w:r>
      <w:r>
        <w:t>lane</w:t>
      </w:r>
      <w:r>
        <w:rPr>
          <w:spacing w:val="10"/>
        </w:rPr>
        <w:t xml:space="preserve"> 2)</w:t>
      </w:r>
      <w:r>
        <w:rPr>
          <w:spacing w:val="14"/>
        </w:rPr>
        <w:t xml:space="preserve"> </w:t>
      </w:r>
      <w:r>
        <w:t xml:space="preserve">and </w:t>
      </w:r>
      <w:r>
        <w:rPr>
          <w:spacing w:val="4"/>
        </w:rPr>
        <w:t>corresponding wildtype</w:t>
      </w:r>
      <w:r>
        <w:rPr>
          <w:spacing w:val="3"/>
        </w:rPr>
        <w:t xml:space="preserve"> protein (lane</w:t>
      </w:r>
      <w:r>
        <w:rPr>
          <w:spacing w:val="26"/>
        </w:rPr>
        <w:t xml:space="preserve"> </w:t>
      </w:r>
      <w:r>
        <w:rPr>
          <w:spacing w:val="3"/>
        </w:rPr>
        <w:t>1) were</w:t>
      </w:r>
      <w:r>
        <w:t xml:space="preserve">    blotted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anti</w:t>
      </w:r>
      <w:r>
        <w:rPr>
          <w:spacing w:val="13"/>
        </w:rPr>
        <w:t>-</w:t>
      </w:r>
      <w:r>
        <w:t>IDH</w:t>
      </w:r>
      <w:r>
        <w:rPr>
          <w:spacing w:val="13"/>
        </w:rPr>
        <w:t xml:space="preserve">2 (R140Q) </w:t>
      </w:r>
      <w:r>
        <w:t>monoclonal</w:t>
      </w:r>
    </w:p>
    <w:p w14:paraId="0105242F">
      <w:pPr>
        <w:pStyle w:val="2"/>
        <w:spacing w:before="32" w:line="201" w:lineRule="auto"/>
        <w:ind w:left="7"/>
      </w:pP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#26165).</w:t>
      </w:r>
    </w:p>
    <w:p w14:paraId="282F92BF">
      <w:pPr>
        <w:spacing w:line="201" w:lineRule="auto"/>
        <w:sectPr>
          <w:type w:val="continuous"/>
          <w:pgSz w:w="11906" w:h="16839"/>
          <w:pgMar w:top="851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15EA9EC2">
      <w:pPr>
        <w:spacing w:line="269" w:lineRule="auto"/>
        <w:rPr>
          <w:rFonts w:ascii="Arial"/>
          <w:sz w:val="21"/>
        </w:rPr>
      </w:pPr>
    </w:p>
    <w:p w14:paraId="44727C5D">
      <w:pPr>
        <w:spacing w:line="270" w:lineRule="auto"/>
        <w:rPr>
          <w:rFonts w:ascii="Arial"/>
          <w:sz w:val="21"/>
        </w:rPr>
      </w:pPr>
    </w:p>
    <w:p w14:paraId="6190AC46">
      <w:pPr>
        <w:spacing w:before="188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044C4">
      <w:pPr>
        <w:spacing w:line="427" w:lineRule="auto"/>
        <w:rPr>
          <w:rFonts w:ascii="Arial"/>
          <w:sz w:val="21"/>
        </w:rPr>
      </w:pPr>
    </w:p>
    <w:p w14:paraId="07DE0FF9">
      <w:pPr>
        <w:pStyle w:val="2"/>
        <w:spacing w:before="57" w:line="195" w:lineRule="auto"/>
        <w:ind w:left="544"/>
      </w:pPr>
      <w:r>
        <w:rPr>
          <w:b/>
          <w:bCs/>
          <w:spacing w:val="4"/>
        </w:rPr>
        <w:t>Immunofluorescence:</w:t>
      </w:r>
    </w:p>
    <w:p w14:paraId="2B85294E">
      <w:pPr>
        <w:spacing w:before="216" w:line="4071" w:lineRule="exact"/>
        <w:ind w:firstLine="619"/>
      </w:pPr>
      <w:r>
        <w:rPr>
          <w:position w:val="-81"/>
        </w:rPr>
        <w:drawing>
          <wp:inline distT="0" distB="0" distL="0" distR="0">
            <wp:extent cx="2473325" cy="25844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3628" cy="258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BD0F1">
      <w:pPr>
        <w:pStyle w:val="2"/>
        <w:spacing w:before="206" w:line="309" w:lineRule="auto"/>
        <w:ind w:left="543" w:right="5423"/>
      </w:pPr>
      <w:r>
        <w:rPr>
          <w:b/>
          <w:bCs/>
          <w:spacing w:val="4"/>
        </w:rPr>
        <w:t>Immunofluorescence of cells expressing IDH2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IDH</w:t>
      </w:r>
      <w:r>
        <w:rPr>
          <w:b/>
          <w:bCs/>
          <w:spacing w:val="12"/>
        </w:rPr>
        <w:t>2 (R140Q)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3C9F614B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1C1C278A">
      <w:pPr>
        <w:pStyle w:val="2"/>
        <w:spacing w:before="122" w:line="309" w:lineRule="auto"/>
        <w:ind w:left="546" w:right="5245" w:hanging="7"/>
      </w:pPr>
      <w:r>
        <w:rPr>
          <w:spacing w:val="6"/>
        </w:rPr>
        <w:t>pCDNA3-GFP-IDH2 (WT) plasmid</w:t>
      </w:r>
      <w:r>
        <w:rPr>
          <w:spacing w:val="18"/>
          <w:w w:val="101"/>
        </w:rPr>
        <w:t xml:space="preserve"> </w:t>
      </w:r>
      <w:r>
        <w:rPr>
          <w:spacing w:val="6"/>
        </w:rPr>
        <w:t>(left column)</w:t>
      </w:r>
      <w:r>
        <w:t xml:space="preserve"> 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IDH</w:t>
      </w:r>
      <w:r>
        <w:rPr>
          <w:spacing w:val="11"/>
        </w:rPr>
        <w:t xml:space="preserve">2 (R140Q) </w:t>
      </w:r>
      <w:r>
        <w:t>plasmid</w:t>
      </w:r>
      <w:r>
        <w:rPr>
          <w:spacing w:val="11"/>
        </w:rPr>
        <w:t xml:space="preserve"> (</w:t>
      </w:r>
      <w:r>
        <w:t>right</w:t>
      </w:r>
    </w:p>
    <w:p w14:paraId="30034FDD">
      <w:pPr>
        <w:pStyle w:val="2"/>
        <w:spacing w:before="32" w:line="309" w:lineRule="auto"/>
        <w:ind w:left="548" w:right="5517" w:hanging="1"/>
      </w:pPr>
      <w:r>
        <w:rPr>
          <w:spacing w:val="4"/>
        </w:rPr>
        <w:t>column), then fixed and staine</w:t>
      </w:r>
      <w:r>
        <w:rPr>
          <w:spacing w:val="3"/>
        </w:rPr>
        <w:t>d with</w:t>
      </w:r>
      <w:r>
        <w:rPr>
          <w:spacing w:val="14"/>
          <w:w w:val="101"/>
        </w:rPr>
        <w:t xml:space="preserve"> </w:t>
      </w:r>
      <w:r>
        <w:rPr>
          <w:spacing w:val="3"/>
        </w:rPr>
        <w:t>anti-IDH2</w:t>
      </w:r>
      <w:r>
        <w:t xml:space="preserve"> </w:t>
      </w:r>
      <w:r>
        <w:rPr>
          <w:spacing w:val="8"/>
        </w:rPr>
        <w:t xml:space="preserve">(R140Q)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#26165).</w:t>
      </w:r>
    </w:p>
    <w:p w14:paraId="382EFF6B">
      <w:pPr>
        <w:spacing w:line="251" w:lineRule="auto"/>
        <w:rPr>
          <w:rFonts w:ascii="Arial"/>
          <w:sz w:val="21"/>
        </w:rPr>
      </w:pPr>
    </w:p>
    <w:p w14:paraId="32838A87">
      <w:pPr>
        <w:spacing w:line="251" w:lineRule="auto"/>
        <w:rPr>
          <w:rFonts w:ascii="Arial"/>
          <w:sz w:val="21"/>
        </w:rPr>
      </w:pPr>
    </w:p>
    <w:p w14:paraId="18F03BEE">
      <w:pPr>
        <w:spacing w:line="251" w:lineRule="auto"/>
        <w:rPr>
          <w:rFonts w:ascii="Arial"/>
          <w:sz w:val="21"/>
        </w:rPr>
      </w:pPr>
    </w:p>
    <w:p w14:paraId="1CEA87F3">
      <w:pPr>
        <w:spacing w:line="251" w:lineRule="auto"/>
        <w:rPr>
          <w:rFonts w:ascii="Arial"/>
          <w:sz w:val="21"/>
        </w:rPr>
      </w:pPr>
    </w:p>
    <w:p w14:paraId="7750681D">
      <w:pPr>
        <w:spacing w:line="251" w:lineRule="auto"/>
        <w:rPr>
          <w:rFonts w:ascii="Arial"/>
          <w:sz w:val="21"/>
        </w:rPr>
      </w:pPr>
    </w:p>
    <w:p w14:paraId="78BD6D69">
      <w:pPr>
        <w:spacing w:line="251" w:lineRule="auto"/>
        <w:rPr>
          <w:rFonts w:ascii="Arial"/>
          <w:sz w:val="21"/>
        </w:rPr>
      </w:pPr>
    </w:p>
    <w:p w14:paraId="32494295">
      <w:pPr>
        <w:spacing w:line="251" w:lineRule="auto"/>
        <w:rPr>
          <w:rFonts w:ascii="Arial"/>
          <w:sz w:val="21"/>
        </w:rPr>
      </w:pPr>
    </w:p>
    <w:p w14:paraId="0828BD4A">
      <w:pPr>
        <w:spacing w:line="252" w:lineRule="auto"/>
        <w:rPr>
          <w:rFonts w:ascii="Arial"/>
          <w:sz w:val="21"/>
        </w:rPr>
      </w:pPr>
    </w:p>
    <w:p w14:paraId="6D112061">
      <w:pPr>
        <w:spacing w:line="252" w:lineRule="auto"/>
        <w:rPr>
          <w:rFonts w:ascii="Arial"/>
          <w:sz w:val="21"/>
        </w:rPr>
      </w:pPr>
    </w:p>
    <w:p w14:paraId="548DFC06">
      <w:pPr>
        <w:spacing w:line="60" w:lineRule="exact"/>
        <w:rPr>
          <w:position w:val="-1"/>
        </w:rPr>
      </w:pPr>
    </w:p>
    <w:p w14:paraId="752599F8">
      <w:pPr>
        <w:spacing w:line="60" w:lineRule="exact"/>
        <w:rPr>
          <w:position w:val="-1"/>
        </w:rPr>
      </w:pPr>
    </w:p>
    <w:p w14:paraId="37768E75">
      <w:pPr>
        <w:spacing w:line="60" w:lineRule="exact"/>
        <w:rPr>
          <w:position w:val="-1"/>
        </w:rPr>
      </w:pPr>
    </w:p>
    <w:p w14:paraId="1B14DCD4">
      <w:pPr>
        <w:spacing w:line="60" w:lineRule="exact"/>
        <w:rPr>
          <w:position w:val="-1"/>
        </w:rPr>
      </w:pPr>
    </w:p>
    <w:p w14:paraId="7885FED5">
      <w:pPr>
        <w:spacing w:line="60" w:lineRule="exact"/>
        <w:rPr>
          <w:position w:val="-1"/>
        </w:rPr>
      </w:pPr>
    </w:p>
    <w:p w14:paraId="1CB0EBBF">
      <w:pPr>
        <w:spacing w:line="60" w:lineRule="exact"/>
        <w:rPr>
          <w:position w:val="-1"/>
        </w:rPr>
      </w:pPr>
    </w:p>
    <w:p w14:paraId="5C6F5BB9">
      <w:pPr>
        <w:spacing w:line="60" w:lineRule="exact"/>
        <w:rPr>
          <w:position w:val="-1"/>
        </w:rPr>
      </w:pPr>
    </w:p>
    <w:p w14:paraId="1D557BBF">
      <w:pPr>
        <w:spacing w:line="60" w:lineRule="exact"/>
        <w:rPr>
          <w:position w:val="-1"/>
        </w:rPr>
      </w:pPr>
    </w:p>
    <w:p w14:paraId="5EBF5C7A">
      <w:pPr>
        <w:spacing w:line="60" w:lineRule="exact"/>
        <w:rPr>
          <w:position w:val="-1"/>
        </w:rPr>
      </w:pPr>
    </w:p>
    <w:p w14:paraId="4CCC1407">
      <w:pPr>
        <w:spacing w:line="60" w:lineRule="exact"/>
        <w:rPr>
          <w:position w:val="-1"/>
        </w:rPr>
      </w:pPr>
    </w:p>
    <w:p w14:paraId="1C3CA1DC">
      <w:pPr>
        <w:spacing w:line="60" w:lineRule="exact"/>
        <w:rPr>
          <w:position w:val="-1"/>
        </w:rPr>
      </w:pPr>
    </w:p>
    <w:p w14:paraId="03686E87">
      <w:pPr>
        <w:spacing w:line="60" w:lineRule="exact"/>
        <w:rPr>
          <w:position w:val="-1"/>
        </w:rPr>
      </w:pPr>
    </w:p>
    <w:p w14:paraId="6B4C3586">
      <w:pPr>
        <w:spacing w:line="60" w:lineRule="exact"/>
        <w:rPr>
          <w:position w:val="-1"/>
        </w:rPr>
      </w:pPr>
    </w:p>
    <w:p w14:paraId="5F724EC3">
      <w:pPr>
        <w:spacing w:line="60" w:lineRule="exact"/>
        <w:rPr>
          <w:position w:val="-1"/>
        </w:rPr>
      </w:pPr>
    </w:p>
    <w:p w14:paraId="435F3923">
      <w:pPr>
        <w:spacing w:line="60" w:lineRule="exact"/>
        <w:rPr>
          <w:position w:val="-1"/>
        </w:rPr>
      </w:pPr>
    </w:p>
    <w:p w14:paraId="600DD749">
      <w:pPr>
        <w:spacing w:line="60" w:lineRule="exact"/>
        <w:rPr>
          <w:position w:val="-1"/>
        </w:rPr>
      </w:pPr>
    </w:p>
    <w:p w14:paraId="5D7451C3">
      <w:pPr>
        <w:spacing w:line="60" w:lineRule="exact"/>
        <w:rPr>
          <w:position w:val="-1"/>
        </w:rPr>
      </w:pPr>
    </w:p>
    <w:p w14:paraId="317168B2">
      <w:pPr>
        <w:spacing w:line="60" w:lineRule="exact"/>
        <w:rPr>
          <w:position w:val="-1"/>
        </w:rPr>
      </w:pPr>
    </w:p>
    <w:p w14:paraId="0B8DBF88">
      <w:pPr>
        <w:spacing w:line="60" w:lineRule="exact"/>
        <w:rPr>
          <w:position w:val="-1"/>
        </w:rPr>
      </w:pPr>
    </w:p>
    <w:p w14:paraId="052E7D7A">
      <w:pPr>
        <w:spacing w:line="60" w:lineRule="exact"/>
        <w:rPr>
          <w:position w:val="-1"/>
        </w:rPr>
      </w:pPr>
    </w:p>
    <w:p w14:paraId="590F73DB">
      <w:pPr>
        <w:spacing w:line="60" w:lineRule="exact"/>
        <w:rPr>
          <w:position w:val="-1"/>
        </w:rPr>
      </w:pPr>
    </w:p>
    <w:p w14:paraId="6F5D0694">
      <w:pPr>
        <w:spacing w:line="60" w:lineRule="exact"/>
        <w:rPr>
          <w:position w:val="-1"/>
        </w:rPr>
      </w:pPr>
    </w:p>
    <w:p w14:paraId="69AB22EA">
      <w:pPr>
        <w:spacing w:line="60" w:lineRule="exact"/>
        <w:rPr>
          <w:position w:val="-1"/>
        </w:rPr>
      </w:pPr>
    </w:p>
    <w:p w14:paraId="4C093432">
      <w:pPr>
        <w:spacing w:line="60" w:lineRule="exact"/>
        <w:rPr>
          <w:position w:val="-1"/>
        </w:rPr>
      </w:pPr>
    </w:p>
    <w:p w14:paraId="5EFD8ADD">
      <w:pPr>
        <w:spacing w:line="60" w:lineRule="exact"/>
        <w:rPr>
          <w:position w:val="-1"/>
        </w:rPr>
      </w:pPr>
    </w:p>
    <w:p w14:paraId="7BFE5DB3">
      <w:pPr>
        <w:spacing w:line="60" w:lineRule="exact"/>
        <w:rPr>
          <w:position w:val="-1"/>
        </w:rPr>
      </w:pPr>
    </w:p>
    <w:p w14:paraId="6015170F">
      <w:pPr>
        <w:spacing w:line="60" w:lineRule="exact"/>
        <w:rPr>
          <w:position w:val="-1"/>
        </w:rPr>
      </w:pPr>
    </w:p>
    <w:p w14:paraId="16AA2569">
      <w:pPr>
        <w:spacing w:line="60" w:lineRule="exact"/>
        <w:rPr>
          <w:position w:val="-1"/>
        </w:rPr>
      </w:pPr>
    </w:p>
    <w:p w14:paraId="1CD6F52D">
      <w:pPr>
        <w:spacing w:line="60" w:lineRule="exact"/>
        <w:rPr>
          <w:position w:val="-1"/>
        </w:rPr>
      </w:pPr>
    </w:p>
    <w:p w14:paraId="039B20CF">
      <w:pPr>
        <w:spacing w:line="60" w:lineRule="exact"/>
        <w:rPr>
          <w:position w:val="-1"/>
        </w:rPr>
      </w:pPr>
    </w:p>
    <w:p w14:paraId="63379660">
      <w:pPr>
        <w:spacing w:line="60" w:lineRule="exact"/>
        <w:rPr>
          <w:position w:val="-1"/>
        </w:rPr>
      </w:pPr>
    </w:p>
    <w:p w14:paraId="2BD0694D">
      <w:pPr>
        <w:spacing w:line="60" w:lineRule="exact"/>
        <w:rPr>
          <w:position w:val="-1"/>
        </w:rPr>
      </w:pPr>
    </w:p>
    <w:p w14:paraId="59FB22B5">
      <w:pPr>
        <w:spacing w:line="60" w:lineRule="exact"/>
        <w:rPr>
          <w:position w:val="-1"/>
        </w:rPr>
      </w:pPr>
    </w:p>
    <w:p w14:paraId="518C15FD">
      <w:pPr>
        <w:spacing w:line="60" w:lineRule="exact"/>
        <w:rPr>
          <w:position w:val="-1"/>
        </w:rPr>
      </w:pPr>
    </w:p>
    <w:p w14:paraId="0994F61C">
      <w:pPr>
        <w:spacing w:line="60" w:lineRule="exact"/>
        <w:rPr>
          <w:position w:val="-1"/>
        </w:rPr>
      </w:pPr>
    </w:p>
    <w:p w14:paraId="13A61E34">
      <w:pPr>
        <w:spacing w:line="60" w:lineRule="exact"/>
        <w:rPr>
          <w:position w:val="-1"/>
        </w:rPr>
      </w:pPr>
    </w:p>
    <w:p w14:paraId="27B01C55">
      <w:pPr>
        <w:spacing w:line="60" w:lineRule="exact"/>
        <w:rPr>
          <w:position w:val="-1"/>
        </w:rPr>
      </w:pPr>
    </w:p>
    <w:p w14:paraId="30A17E91">
      <w:pPr>
        <w:spacing w:line="60" w:lineRule="exact"/>
        <w:rPr>
          <w:position w:val="-1"/>
        </w:rPr>
      </w:pPr>
    </w:p>
    <w:p w14:paraId="49A86860">
      <w:pPr>
        <w:spacing w:line="60" w:lineRule="exact"/>
        <w:rPr>
          <w:position w:val="-1"/>
        </w:rPr>
      </w:pPr>
    </w:p>
    <w:p w14:paraId="67B700E1">
      <w:pPr>
        <w:spacing w:line="60" w:lineRule="exact"/>
        <w:rPr>
          <w:position w:val="-1"/>
        </w:rPr>
      </w:pPr>
    </w:p>
    <w:p w14:paraId="03B43967">
      <w:pPr>
        <w:spacing w:line="60" w:lineRule="exact"/>
      </w:pPr>
      <w:bookmarkStart w:id="0" w:name="_GoBack"/>
      <w:bookmarkEnd w:id="0"/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9087D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6B16EBC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51B82CF5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00178686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033D12D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EBE3136"/>
    <w:rsid w:val="544F687F"/>
    <w:rsid w:val="77E0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236</Words>
  <Characters>1587</Characters>
  <TotalTime>0</TotalTime>
  <ScaleCrop>false</ScaleCrop>
  <LinksUpToDate>false</LinksUpToDate>
  <CharactersWithSpaces>1830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2025-08-14T10:41:00Z</dcterms:created>
  <dc:creator>Limin Wang</dc:creator>
  <cp:lastModifiedBy>周亿福</cp:lastModifiedBy>
  <dcterms:modified xsi:type="dcterms:W3CDTF">2025-08-15T03:29:44Z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2025-08-15T11:25:35Z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323E0FCFA77D4A92BD1140953082ADCA_12</vt:lpwstr>
  </property>
</Properties>
</file>